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26E6" w14:textId="77777777" w:rsidR="00533205" w:rsidRDefault="00533205" w:rsidP="00533205">
      <w:pPr>
        <w:pStyle w:val="BodyText"/>
        <w:ind w:left="17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4F9389" wp14:editId="1CDB9E34">
            <wp:extent cx="3621632" cy="1187767"/>
            <wp:effectExtent l="0" t="0" r="0" b="0"/>
            <wp:docPr id="1" name="image1.png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and gold 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632" cy="11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4190" w14:textId="77777777" w:rsidR="00533205" w:rsidRDefault="00533205" w:rsidP="00533205">
      <w:pPr>
        <w:pStyle w:val="BodyText"/>
        <w:spacing w:before="1"/>
        <w:rPr>
          <w:rFonts w:ascii="Times New Roman"/>
          <w:sz w:val="28"/>
        </w:rPr>
      </w:pPr>
    </w:p>
    <w:p w14:paraId="0786FC65" w14:textId="5B093A3F" w:rsidR="00533205" w:rsidRPr="00533205" w:rsidRDefault="00533205" w:rsidP="00533205">
      <w:pPr>
        <w:pStyle w:val="Heading1"/>
        <w:spacing w:before="94" w:line="278" w:lineRule="auto"/>
        <w:ind w:left="2850" w:right="2843"/>
        <w:jc w:val="center"/>
        <w:rPr>
          <w:sz w:val="32"/>
          <w:szCs w:val="32"/>
        </w:rPr>
      </w:pPr>
      <w:r w:rsidRPr="00533205">
        <w:rPr>
          <w:sz w:val="32"/>
          <w:szCs w:val="32"/>
        </w:rPr>
        <w:t>National Referee</w:t>
      </w:r>
      <w:r w:rsidRPr="00533205">
        <w:rPr>
          <w:sz w:val="32"/>
          <w:szCs w:val="32"/>
        </w:rPr>
        <w:t xml:space="preserve"> </w:t>
      </w:r>
      <w:r w:rsidRPr="00533205">
        <w:rPr>
          <w:sz w:val="32"/>
          <w:szCs w:val="32"/>
        </w:rPr>
        <w:t>Development Committee</w:t>
      </w:r>
    </w:p>
    <w:p w14:paraId="608D6251" w14:textId="77777777" w:rsidR="00533205" w:rsidRPr="00533205" w:rsidRDefault="00533205" w:rsidP="00533205">
      <w:pPr>
        <w:pStyle w:val="Heading1"/>
        <w:spacing w:before="94" w:line="278" w:lineRule="auto"/>
        <w:ind w:left="2850" w:right="2843"/>
        <w:jc w:val="center"/>
        <w:rPr>
          <w:sz w:val="28"/>
          <w:szCs w:val="28"/>
        </w:rPr>
      </w:pPr>
      <w:r w:rsidRPr="00533205">
        <w:rPr>
          <w:sz w:val="28"/>
          <w:szCs w:val="28"/>
        </w:rPr>
        <w:t>Terms of Reference</w:t>
      </w:r>
    </w:p>
    <w:p w14:paraId="2B019D09" w14:textId="77777777" w:rsidR="00533205" w:rsidRDefault="00533205" w:rsidP="00533205">
      <w:pPr>
        <w:pStyle w:val="BodyText"/>
        <w:spacing w:before="11"/>
        <w:rPr>
          <w:b/>
          <w:sz w:val="24"/>
        </w:rPr>
      </w:pPr>
    </w:p>
    <w:p w14:paraId="77F2336A" w14:textId="77777777" w:rsidR="00533205" w:rsidRDefault="00533205" w:rsidP="00533205">
      <w:pPr>
        <w:ind w:left="2361" w:right="2359"/>
        <w:jc w:val="center"/>
        <w:rPr>
          <w:b/>
        </w:rPr>
      </w:pPr>
      <w:r>
        <w:rPr>
          <w:b/>
        </w:rPr>
        <w:t xml:space="preserve">Approved by Ard </w:t>
      </w:r>
      <w:proofErr w:type="spellStart"/>
      <w:r>
        <w:rPr>
          <w:b/>
        </w:rPr>
        <w:t>Chomhairle</w:t>
      </w:r>
      <w:proofErr w:type="spellEnd"/>
      <w:r>
        <w:rPr>
          <w:b/>
        </w:rPr>
        <w:t xml:space="preserve"> on </w:t>
      </w:r>
      <w:proofErr w:type="gramStart"/>
      <w:r>
        <w:rPr>
          <w:b/>
        </w:rPr>
        <w:t>18/01/2023</w:t>
      </w:r>
      <w:proofErr w:type="gramEnd"/>
    </w:p>
    <w:p w14:paraId="21AB5ED9" w14:textId="77777777" w:rsidR="00533205" w:rsidRDefault="00533205" w:rsidP="00533205">
      <w:pPr>
        <w:pStyle w:val="BodyText"/>
        <w:spacing w:before="4"/>
        <w:rPr>
          <w:b/>
          <w:sz w:val="20"/>
        </w:rPr>
      </w:pPr>
    </w:p>
    <w:p w14:paraId="46626FB1" w14:textId="77777777" w:rsidR="00533205" w:rsidRDefault="00533205" w:rsidP="00533205">
      <w:pPr>
        <w:rPr>
          <w:b/>
          <w:bCs/>
          <w:color w:val="B65400"/>
          <w:sz w:val="24"/>
          <w:szCs w:val="24"/>
        </w:rPr>
      </w:pPr>
      <w:r w:rsidRPr="00AF55B1">
        <w:rPr>
          <w:b/>
          <w:bCs/>
          <w:color w:val="B65400"/>
          <w:sz w:val="24"/>
          <w:szCs w:val="24"/>
        </w:rPr>
        <w:t>TERMS OF REFERENCE</w:t>
      </w:r>
    </w:p>
    <w:p w14:paraId="4963B05E" w14:textId="77777777" w:rsidR="00533205" w:rsidRDefault="00533205" w:rsidP="00533205">
      <w:pPr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Subject to the overall jurisdiction of Ard </w:t>
      </w:r>
      <w:proofErr w:type="spellStart"/>
      <w:r w:rsidRPr="003A551C">
        <w:rPr>
          <w:color w:val="000000"/>
          <w:sz w:val="24"/>
          <w:szCs w:val="24"/>
        </w:rPr>
        <w:t>Chomhairle</w:t>
      </w:r>
      <w:proofErr w:type="spellEnd"/>
      <w:r w:rsidRPr="003A551C">
        <w:rPr>
          <w:color w:val="000000"/>
          <w:sz w:val="24"/>
          <w:szCs w:val="24"/>
        </w:rPr>
        <w:t xml:space="preserve"> (Central Council), the National Referees Development Committee shall work closely with the National Referee Education and Development Officer in implementing the Camogie Association’s Referee Strategy 2022-2023 and the Association’s National Development Plan.</w:t>
      </w:r>
    </w:p>
    <w:p w14:paraId="1071E28A" w14:textId="77777777" w:rsidR="00533205" w:rsidRDefault="00533205" w:rsidP="00533205">
      <w:r w:rsidRPr="00AF55B1">
        <w:rPr>
          <w:b/>
          <w:bCs/>
          <w:color w:val="000000"/>
          <w:sz w:val="24"/>
          <w:szCs w:val="24"/>
        </w:rPr>
        <w:t>Membership</w:t>
      </w:r>
      <w:r w:rsidRPr="00AF55B1">
        <w:rPr>
          <w:color w:val="000000"/>
          <w:sz w:val="24"/>
          <w:szCs w:val="24"/>
        </w:rPr>
        <w:t xml:space="preserve">: As nominated by the Uachtaran and ratified by Ard </w:t>
      </w:r>
      <w:proofErr w:type="spellStart"/>
      <w:r w:rsidRPr="00AF55B1">
        <w:rPr>
          <w:color w:val="000000"/>
          <w:sz w:val="24"/>
          <w:szCs w:val="24"/>
        </w:rPr>
        <w:t>Chomhairle</w:t>
      </w:r>
      <w:proofErr w:type="spellEnd"/>
      <w:r w:rsidRPr="00AF55B1">
        <w:rPr>
          <w:color w:val="000000"/>
          <w:sz w:val="24"/>
          <w:szCs w:val="24"/>
        </w:rPr>
        <w:t xml:space="preserve"> </w:t>
      </w:r>
    </w:p>
    <w:p w14:paraId="7C0C7A2E" w14:textId="77777777" w:rsidR="00533205" w:rsidRPr="003A551C" w:rsidRDefault="00533205" w:rsidP="00533205">
      <w:pPr>
        <w:pStyle w:val="ListParagraph"/>
        <w:ind w:left="385"/>
        <w:rPr>
          <w:color w:val="000000"/>
          <w:sz w:val="24"/>
          <w:szCs w:val="24"/>
        </w:rPr>
      </w:pPr>
    </w:p>
    <w:p w14:paraId="05B843CE" w14:textId="77777777" w:rsidR="00533205" w:rsidRDefault="00533205" w:rsidP="00533205">
      <w:pPr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More specifically the role will involve: </w:t>
      </w:r>
    </w:p>
    <w:p w14:paraId="090DEA84" w14:textId="77777777" w:rsidR="00533205" w:rsidRPr="003A551C" w:rsidRDefault="00533205" w:rsidP="00533205">
      <w:pPr>
        <w:rPr>
          <w:color w:val="000000"/>
          <w:sz w:val="24"/>
          <w:szCs w:val="24"/>
        </w:rPr>
      </w:pPr>
    </w:p>
    <w:p w14:paraId="75EA71AA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Identifying and ratifying suitable personnel to officiate as referees at national </w:t>
      </w:r>
      <w:proofErr w:type="gramStart"/>
      <w:r w:rsidRPr="003A551C">
        <w:rPr>
          <w:color w:val="000000"/>
          <w:sz w:val="24"/>
          <w:szCs w:val="24"/>
        </w:rPr>
        <w:t>level</w:t>
      </w:r>
      <w:proofErr w:type="gramEnd"/>
    </w:p>
    <w:p w14:paraId="3E176AF0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>Organising regular training courses, seminars, meetings for National Referees, Umpires and Lines officials</w:t>
      </w:r>
    </w:p>
    <w:p w14:paraId="236E4D7C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Regularly review, update and implement procedures for fitness testing of referees and advise Competitions Management Committee of </w:t>
      </w:r>
      <w:proofErr w:type="gramStart"/>
      <w:r w:rsidRPr="003A551C">
        <w:rPr>
          <w:color w:val="000000"/>
          <w:sz w:val="24"/>
          <w:szCs w:val="24"/>
        </w:rPr>
        <w:t>outcomes</w:t>
      </w:r>
      <w:proofErr w:type="gramEnd"/>
    </w:p>
    <w:p w14:paraId="599F4EC9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Regularly review, update and implement written examinations for National Referees and advise Competitions Management Committee of </w:t>
      </w:r>
      <w:proofErr w:type="gramStart"/>
      <w:r w:rsidRPr="003A551C">
        <w:rPr>
          <w:color w:val="000000"/>
          <w:sz w:val="24"/>
          <w:szCs w:val="24"/>
        </w:rPr>
        <w:t>outcomes</w:t>
      </w:r>
      <w:proofErr w:type="gramEnd"/>
    </w:p>
    <w:p w14:paraId="4F9E4C76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Establishing procedures for assessing referees, as a way of positively supporting and maintaining quality refereeing standards and advise Competitions Management of </w:t>
      </w:r>
      <w:proofErr w:type="gramStart"/>
      <w:r w:rsidRPr="003A551C">
        <w:rPr>
          <w:color w:val="000000"/>
          <w:sz w:val="24"/>
          <w:szCs w:val="24"/>
        </w:rPr>
        <w:t>outcomes</w:t>
      </w:r>
      <w:proofErr w:type="gramEnd"/>
    </w:p>
    <w:p w14:paraId="06E823BC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Liaison with relevant Ard </w:t>
      </w:r>
      <w:proofErr w:type="spellStart"/>
      <w:r w:rsidRPr="003A551C">
        <w:rPr>
          <w:color w:val="000000"/>
          <w:sz w:val="24"/>
          <w:szCs w:val="24"/>
        </w:rPr>
        <w:t>Chomhairle</w:t>
      </w:r>
      <w:proofErr w:type="spellEnd"/>
      <w:r w:rsidRPr="003A551C">
        <w:rPr>
          <w:color w:val="000000"/>
          <w:sz w:val="24"/>
          <w:szCs w:val="24"/>
        </w:rPr>
        <w:t xml:space="preserve"> Committees as appropriate</w:t>
      </w:r>
    </w:p>
    <w:p w14:paraId="12AFA71C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Liaison with the Coaching and Games Development Committee, referee tutors and Development Team on developing and implementing a programme of referee education and </w:t>
      </w:r>
      <w:proofErr w:type="gramStart"/>
      <w:r w:rsidRPr="003A551C">
        <w:rPr>
          <w:color w:val="000000"/>
          <w:sz w:val="24"/>
          <w:szCs w:val="24"/>
        </w:rPr>
        <w:t>training</w:t>
      </w:r>
      <w:proofErr w:type="gramEnd"/>
    </w:p>
    <w:p w14:paraId="77AA9F68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Overseeing the development of promotional material on refereeing and referees as a key group of volunteers within the Association for use at national, </w:t>
      </w:r>
      <w:proofErr w:type="gramStart"/>
      <w:r w:rsidRPr="003A551C">
        <w:rPr>
          <w:color w:val="000000"/>
          <w:sz w:val="24"/>
          <w:szCs w:val="24"/>
        </w:rPr>
        <w:t>provincial</w:t>
      </w:r>
      <w:proofErr w:type="gramEnd"/>
      <w:r w:rsidRPr="003A551C">
        <w:rPr>
          <w:color w:val="000000"/>
          <w:sz w:val="24"/>
          <w:szCs w:val="24"/>
        </w:rPr>
        <w:t xml:space="preserve"> and local level</w:t>
      </w:r>
    </w:p>
    <w:p w14:paraId="67B2487F" w14:textId="77777777" w:rsidR="00533205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color w:val="000000"/>
          <w:sz w:val="24"/>
          <w:szCs w:val="24"/>
        </w:rPr>
        <w:t xml:space="preserve">Briefing county team managers on the application of the rules and hear feedback from them as </w:t>
      </w:r>
      <w:proofErr w:type="gramStart"/>
      <w:r w:rsidRPr="003A551C">
        <w:rPr>
          <w:color w:val="000000"/>
          <w:sz w:val="24"/>
          <w:szCs w:val="24"/>
        </w:rPr>
        <w:t>required</w:t>
      </w:r>
      <w:proofErr w:type="gramEnd"/>
    </w:p>
    <w:p w14:paraId="3D9429BF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sz w:val="24"/>
          <w:szCs w:val="24"/>
        </w:rPr>
        <w:t xml:space="preserve">Make recommendations to Ard </w:t>
      </w:r>
      <w:proofErr w:type="spellStart"/>
      <w:r w:rsidRPr="003A551C">
        <w:rPr>
          <w:sz w:val="24"/>
          <w:szCs w:val="24"/>
        </w:rPr>
        <w:t>Chomhairle</w:t>
      </w:r>
      <w:proofErr w:type="spellEnd"/>
      <w:r w:rsidRPr="003A551C">
        <w:rPr>
          <w:sz w:val="24"/>
          <w:szCs w:val="24"/>
        </w:rPr>
        <w:t xml:space="preserve"> on the use of appropriate technology that will benefit the referee and other match officials during national </w:t>
      </w:r>
      <w:proofErr w:type="gramStart"/>
      <w:r w:rsidRPr="003A551C">
        <w:rPr>
          <w:sz w:val="24"/>
          <w:szCs w:val="24"/>
        </w:rPr>
        <w:t>competitions</w:t>
      </w:r>
      <w:proofErr w:type="gramEnd"/>
    </w:p>
    <w:p w14:paraId="781256A8" w14:textId="77777777" w:rsidR="00533205" w:rsidRPr="003A551C" w:rsidRDefault="00533205" w:rsidP="00533205">
      <w:pPr>
        <w:pStyle w:val="ListParagraph"/>
        <w:numPr>
          <w:ilvl w:val="0"/>
          <w:numId w:val="1"/>
        </w:numPr>
        <w:contextualSpacing w:val="0"/>
        <w:rPr>
          <w:color w:val="000000"/>
          <w:sz w:val="24"/>
          <w:szCs w:val="24"/>
        </w:rPr>
      </w:pPr>
      <w:r w:rsidRPr="003A551C">
        <w:rPr>
          <w:sz w:val="24"/>
          <w:szCs w:val="24"/>
        </w:rPr>
        <w:t xml:space="preserve">Support and advise Provincial and County Boards on developing referees, </w:t>
      </w:r>
      <w:r w:rsidRPr="003A551C">
        <w:rPr>
          <w:sz w:val="24"/>
          <w:szCs w:val="24"/>
        </w:rPr>
        <w:lastRenderedPageBreak/>
        <w:t xml:space="preserve">particularly female </w:t>
      </w:r>
      <w:proofErr w:type="gramStart"/>
      <w:r w:rsidRPr="003A551C">
        <w:rPr>
          <w:sz w:val="24"/>
          <w:szCs w:val="24"/>
        </w:rPr>
        <w:t>referees</w:t>
      </w:r>
      <w:proofErr w:type="gramEnd"/>
    </w:p>
    <w:p w14:paraId="24DBCA61" w14:textId="729355CD" w:rsidR="00396B06" w:rsidRDefault="00533205" w:rsidP="00533205">
      <w:pPr>
        <w:pStyle w:val="ListParagraph"/>
        <w:numPr>
          <w:ilvl w:val="0"/>
          <w:numId w:val="1"/>
        </w:numPr>
      </w:pPr>
      <w:r w:rsidRPr="00533205">
        <w:rPr>
          <w:sz w:val="24"/>
          <w:szCs w:val="24"/>
        </w:rPr>
        <w:t xml:space="preserve">Provide regular reports to Ard </w:t>
      </w:r>
      <w:proofErr w:type="spellStart"/>
      <w:r w:rsidRPr="00533205">
        <w:rPr>
          <w:sz w:val="24"/>
          <w:szCs w:val="24"/>
        </w:rPr>
        <w:t>Chomhairle</w:t>
      </w:r>
      <w:proofErr w:type="spellEnd"/>
      <w:r w:rsidRPr="00533205">
        <w:rPr>
          <w:sz w:val="24"/>
          <w:szCs w:val="24"/>
        </w:rPr>
        <w:t xml:space="preserve"> and an Annual Report to Congress</w:t>
      </w:r>
    </w:p>
    <w:sectPr w:rsidR="00396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B2B70"/>
    <w:multiLevelType w:val="multilevel"/>
    <w:tmpl w:val="415AA6E8"/>
    <w:lvl w:ilvl="0">
      <w:start w:val="1"/>
      <w:numFmt w:val="decimal"/>
      <w:lvlText w:val="%1."/>
      <w:lvlJc w:val="left"/>
      <w:pPr>
        <w:ind w:left="385" w:hanging="245"/>
      </w:pPr>
      <w:rPr>
        <w:rFonts w:hint="default"/>
        <w:b/>
        <w:bCs/>
        <w:w w:val="100"/>
        <w:lang w:val="en-IE" w:eastAsia="en-IE" w:bidi="en-IE"/>
      </w:rPr>
    </w:lvl>
    <w:lvl w:ilvl="1">
      <w:start w:val="1"/>
      <w:numFmt w:val="decimal"/>
      <w:lvlText w:val="%1.%2"/>
      <w:lvlJc w:val="left"/>
      <w:pPr>
        <w:ind w:left="567" w:hanging="381"/>
      </w:pPr>
      <w:rPr>
        <w:rFonts w:hint="default"/>
        <w:w w:val="99"/>
        <w:lang w:val="en-IE" w:eastAsia="en-IE" w:bidi="en-IE"/>
      </w:rPr>
    </w:lvl>
    <w:lvl w:ilvl="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3">
      <w:numFmt w:val="bullet"/>
      <w:lvlText w:val="•"/>
      <w:lvlJc w:val="left"/>
      <w:pPr>
        <w:ind w:left="1915" w:hanging="360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2971" w:hanging="360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4027" w:hanging="360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5083" w:hanging="360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  <w:lang w:val="en-IE" w:eastAsia="en-IE" w:bidi="en-IE"/>
      </w:rPr>
    </w:lvl>
  </w:abstractNum>
  <w:num w:numId="1" w16cid:durableId="60635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05"/>
    <w:rsid w:val="00396B06"/>
    <w:rsid w:val="00533205"/>
    <w:rsid w:val="006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2BE8"/>
  <w15:chartTrackingRefBased/>
  <w15:docId w15:val="{322BBEE3-8701-47A3-878F-882994D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IE" w:bidi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0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20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2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2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2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2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20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0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20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20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2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2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2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2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32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2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3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3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2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5332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320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20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20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3205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533205"/>
  </w:style>
  <w:style w:type="character" w:customStyle="1" w:styleId="BodyTextChar">
    <w:name w:val="Body Text Char"/>
    <w:basedOn w:val="DefaultParagraphFont"/>
    <w:link w:val="BodyText"/>
    <w:uiPriority w:val="1"/>
    <w:rsid w:val="00533205"/>
    <w:rPr>
      <w:rFonts w:ascii="Arial" w:eastAsia="Arial" w:hAnsi="Arial" w:cs="Arial"/>
      <w:kern w:val="0"/>
      <w:lang w:eastAsia="en-IE" w:bidi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Gleeson</dc:creator>
  <cp:keywords/>
  <dc:description/>
  <cp:lastModifiedBy>Tara Gleeson</cp:lastModifiedBy>
  <cp:revision>1</cp:revision>
  <dcterms:created xsi:type="dcterms:W3CDTF">2024-05-02T08:30:00Z</dcterms:created>
  <dcterms:modified xsi:type="dcterms:W3CDTF">2024-05-02T08:32:00Z</dcterms:modified>
</cp:coreProperties>
</file>